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FF09A4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A7DE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</w:t>
            </w:r>
            <w:r w:rsidR="00380176">
              <w:rPr>
                <w:rFonts w:asciiTheme="minorHAnsi" w:hAnsiTheme="minorHAnsi"/>
                <w:b/>
                <w:bCs/>
                <w:sz w:val="32"/>
                <w:szCs w:val="32"/>
              </w:rPr>
              <w:t>40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6A73CF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A73CF">
              <w:rPr>
                <w:rFonts w:asciiTheme="minorHAnsi" w:hAnsiTheme="minorHAnsi"/>
                <w:b/>
                <w:i/>
                <w:sz w:val="22"/>
                <w:szCs w:val="22"/>
              </w:rPr>
              <w:t>Objekt K3</w:t>
            </w:r>
            <w:r w:rsidR="00E475D8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6A73CF">
              <w:rPr>
                <w:rFonts w:asciiTheme="minorHAnsi" w:hAnsiTheme="minorHAnsi"/>
                <w:b/>
                <w:i/>
                <w:sz w:val="22"/>
                <w:szCs w:val="22"/>
              </w:rPr>
              <w:t>objekt klauzury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Default="00380176" w:rsidP="00E475D8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Potřeba doplnění zámečnických a kamenických prvků v objektu K3 – nálezy a potřeby vzniklé v průběhu stavby.</w:t>
            </w:r>
          </w:p>
          <w:p w:rsidR="00380176" w:rsidRPr="00990E7C" w:rsidRDefault="00380176" w:rsidP="00380176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380176">
              <w:rPr>
                <w:rFonts w:asciiTheme="minorHAnsi" w:hAnsiTheme="minorHAnsi" w:cs="TimesNewRomanPSMT"/>
                <w:sz w:val="20"/>
                <w:lang w:eastAsia="en-US"/>
              </w:rPr>
              <w:t>Při bouracích pracích pro vedení plynovodu do objektu K3 byl ve vnější stěně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 </w:t>
            </w:r>
            <w:r w:rsidRPr="00380176">
              <w:rPr>
                <w:rFonts w:asciiTheme="minorHAnsi" w:hAnsiTheme="minorHAnsi" w:cs="TimesNewRomanPSMT"/>
                <w:sz w:val="20"/>
                <w:lang w:eastAsia="en-US"/>
              </w:rPr>
              <w:t xml:space="preserve">„vlašského“ komína na fasádě 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>o</w:t>
            </w:r>
            <w:r w:rsidRPr="00380176">
              <w:rPr>
                <w:rFonts w:asciiTheme="minorHAnsi" w:hAnsiTheme="minorHAnsi" w:cs="TimesNewRomanPSMT"/>
                <w:sz w:val="20"/>
                <w:lang w:eastAsia="en-US"/>
              </w:rPr>
              <w:t>bjektu K3 odhalen původní zaklenuty přikládací otvor.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 </w:t>
            </w:r>
            <w:r w:rsidRPr="00380176">
              <w:rPr>
                <w:rFonts w:asciiTheme="minorHAnsi" w:hAnsiTheme="minorHAnsi" w:cs="TimesNewRomanPSMT"/>
                <w:sz w:val="20"/>
                <w:lang w:eastAsia="en-US"/>
              </w:rPr>
              <w:t>Do tohoto otvoru jsou nově navržena historizující dvoukřídlá kovaná dvířka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 </w:t>
            </w:r>
            <w:r w:rsidRPr="00380176">
              <w:rPr>
                <w:rFonts w:asciiTheme="minorHAnsi" w:hAnsiTheme="minorHAnsi" w:cs="TimesNewRomanPSMT"/>
                <w:sz w:val="20"/>
                <w:lang w:eastAsia="en-US"/>
              </w:rPr>
              <w:t>s odvětráním Z114, která budou sloužit jako přístup k plynoměru.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 Dále byla zjištěna absence kamenného ostění přikládacího otvoru kamen v 2.NP a nutnost osazení mříže mezi objekty K1 a K3 v místě původního plůtku.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380176" w:rsidP="00DB7A19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Řešeno projekčně ve změně PD.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380176" w:rsidRDefault="00380176" w:rsidP="0038017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Potřeba doplnění zámečnických a kamenických prvků v objektu K3 – nálezy a potřeby vzniklé v průběhu stavby.</w:t>
            </w:r>
          </w:p>
          <w:p w:rsidR="00C73C05" w:rsidRPr="00990E7C" w:rsidRDefault="00C73C05" w:rsidP="00671507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C51DD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380176">
              <w:rPr>
                <w:rFonts w:asciiTheme="minorHAnsi" w:hAnsiTheme="minorHAnsi"/>
                <w:sz w:val="20"/>
              </w:rPr>
              <w:t>, projektová dokumentace změn stavby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380176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380176">
              <w:rPr>
                <w:rFonts w:asciiTheme="minorHAnsi" w:hAnsiTheme="minorHAnsi"/>
                <w:b/>
                <w:sz w:val="22"/>
                <w:szCs w:val="22"/>
              </w:rPr>
              <w:t>61.144,90</w:t>
            </w:r>
            <w:r w:rsidR="00DB7A1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</w:t>
            </w:r>
            <w:proofErr w:type="spellStart"/>
            <w:proofErr w:type="gram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Luká</w:t>
            </w:r>
            <w:r w:rsidR="008C51DD">
              <w:rPr>
                <w:rFonts w:asciiTheme="minorHAnsi" w:hAnsiTheme="minorHAnsi"/>
                <w:sz w:val="22"/>
                <w:szCs w:val="22"/>
              </w:rPr>
              <w:t>.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>š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Zrna</w:t>
            </w:r>
            <w:proofErr w:type="gram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37D" w:rsidRDefault="005A437D" w:rsidP="004131CC">
      <w:r>
        <w:separator/>
      </w:r>
    </w:p>
  </w:endnote>
  <w:endnote w:type="continuationSeparator" w:id="0">
    <w:p w:rsidR="005A437D" w:rsidRDefault="005A437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37D" w:rsidRDefault="005A437D" w:rsidP="004131CC">
      <w:r>
        <w:separator/>
      </w:r>
    </w:p>
  </w:footnote>
  <w:footnote w:type="continuationSeparator" w:id="0">
    <w:p w:rsidR="005A437D" w:rsidRDefault="005A437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474"/>
    <w:rsid w:val="00193C93"/>
    <w:rsid w:val="00194F6B"/>
    <w:rsid w:val="001A7DEC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8017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A437D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71507"/>
    <w:rsid w:val="00673F10"/>
    <w:rsid w:val="00680AB9"/>
    <w:rsid w:val="006825C9"/>
    <w:rsid w:val="006A2AF5"/>
    <w:rsid w:val="006A73A9"/>
    <w:rsid w:val="006A73CF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7F60E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C51DD"/>
    <w:rsid w:val="008E6E90"/>
    <w:rsid w:val="00901274"/>
    <w:rsid w:val="00917C98"/>
    <w:rsid w:val="00927A6D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73717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A0FE5"/>
    <w:rsid w:val="00CB7AEB"/>
    <w:rsid w:val="00CD11A3"/>
    <w:rsid w:val="00CF4FB3"/>
    <w:rsid w:val="00CF5C69"/>
    <w:rsid w:val="00D01CA2"/>
    <w:rsid w:val="00D27DCD"/>
    <w:rsid w:val="00D30AA3"/>
    <w:rsid w:val="00D408F5"/>
    <w:rsid w:val="00D50F4B"/>
    <w:rsid w:val="00D8222D"/>
    <w:rsid w:val="00D96554"/>
    <w:rsid w:val="00DA2B30"/>
    <w:rsid w:val="00DA78B3"/>
    <w:rsid w:val="00DB23E3"/>
    <w:rsid w:val="00DB48D5"/>
    <w:rsid w:val="00DB7A19"/>
    <w:rsid w:val="00E22E73"/>
    <w:rsid w:val="00E2376E"/>
    <w:rsid w:val="00E23CAF"/>
    <w:rsid w:val="00E475D8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645F4"/>
    <w:rsid w:val="00F71CCC"/>
    <w:rsid w:val="00FA1C42"/>
    <w:rsid w:val="00FB7F76"/>
    <w:rsid w:val="00FC2061"/>
    <w:rsid w:val="00FC2BC6"/>
    <w:rsid w:val="00F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19</cp:revision>
  <cp:lastPrinted>2015-07-17T07:51:00Z</cp:lastPrinted>
  <dcterms:created xsi:type="dcterms:W3CDTF">2015-06-08T04:19:00Z</dcterms:created>
  <dcterms:modified xsi:type="dcterms:W3CDTF">2015-07-23T12:31:00Z</dcterms:modified>
</cp:coreProperties>
</file>